
<file path=[Content_Types].xml><?xml version="1.0" encoding="utf-8"?>
<Types xmlns="http://schemas.openxmlformats.org/package/2006/content-types">
  <Default Extension="xml" ContentType="application/xml"/>
  <Default Extension="jpeg" ContentType="image/jpeg"/>
  <Default Extension="JPG" ContentType="image/.jpg"/>
  <Default Extension="tiff" ContentType="image/tif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A4A74D">
      <w:pPr>
        <w:pStyle w:val="8"/>
        <w:spacing w:line="480" w:lineRule="auto"/>
        <w:rPr>
          <w:sz w:val="32"/>
          <w:szCs w:val="32"/>
        </w:rPr>
      </w:pPr>
      <w:r>
        <w:rPr>
          <w:sz w:val="32"/>
          <w:szCs w:val="32"/>
        </w:rPr>
        <w:t>Supporting Information</w:t>
      </w:r>
    </w:p>
    <w:p w14:paraId="713D3E8E">
      <w:pPr>
        <w:pStyle w:val="8"/>
        <w:spacing w:line="480" w:lineRule="auto"/>
        <w:rPr>
          <w:rFonts w:eastAsiaTheme="minorEastAsia"/>
          <w:sz w:val="32"/>
          <w:szCs w:val="32"/>
          <w:lang w:eastAsia="zh-CN"/>
        </w:rPr>
      </w:pPr>
      <w:r>
        <w:rPr>
          <w:rFonts w:eastAsiaTheme="minorEastAsia"/>
          <w:sz w:val="32"/>
          <w:szCs w:val="32"/>
          <w:lang w:eastAsia="zh-CN"/>
        </w:rPr>
        <w:t xml:space="preserve">1. </w:t>
      </w:r>
      <w:r>
        <w:rPr>
          <w:rFonts w:hint="eastAsia" w:eastAsiaTheme="minorEastAsia"/>
          <w:sz w:val="32"/>
          <w:szCs w:val="32"/>
          <w:lang w:eastAsia="zh-CN"/>
        </w:rPr>
        <w:t>S</w:t>
      </w:r>
      <w:r>
        <w:rPr>
          <w:rFonts w:eastAsiaTheme="minorEastAsia"/>
          <w:sz w:val="32"/>
          <w:szCs w:val="32"/>
          <w:lang w:eastAsia="zh-CN"/>
        </w:rPr>
        <w:t>upplementary methods</w:t>
      </w:r>
    </w:p>
    <w:p w14:paraId="3A049BB5">
      <w:pPr>
        <w:pStyle w:val="11"/>
        <w:rPr>
          <w:b/>
          <w:bCs w:val="0"/>
        </w:rPr>
      </w:pPr>
      <w:r>
        <w:rPr>
          <w:b/>
          <w:bCs w:val="0"/>
        </w:rPr>
        <w:t>1.1 NCM811 materials and characterization</w:t>
      </w:r>
    </w:p>
    <w:p w14:paraId="179CC69E">
      <w:pPr>
        <w:pStyle w:val="11"/>
      </w:pPr>
      <w:r>
        <w:rPr>
          <w:i/>
        </w:rPr>
        <w:t xml:space="preserve">Transmission Electron Microscopy (TEM): </w:t>
      </w:r>
      <w:r>
        <w:t xml:space="preserve">The NCM811 powder was observed using a TEM (JEOL, JEM-2100, Tokyo, Japan) at an accelerating voltage of 160 kV. Digital images were acquired using the Gatan Microscopy Suite® (GMS) software. </w:t>
      </w:r>
    </w:p>
    <w:p w14:paraId="747C4E46">
      <w:pPr>
        <w:pStyle w:val="11"/>
      </w:pPr>
      <w:r>
        <w:rPr>
          <w:i/>
        </w:rPr>
        <w:t>Scanning Electron Microscopy (SEM):</w:t>
      </w:r>
      <w:r>
        <w:t xml:space="preserve"> The NCM811 powder was diluted with deionized water to a concentration of 10 mg/mL and dropped onto a silicon wafer. After drying, NCM811 particles were coated with gold using an ion sputter coater. The sample was then imaged using an S-4800 high-resolution field emission SEM (Hitachi, Japan).</w:t>
      </w:r>
    </w:p>
    <w:p w14:paraId="5FD3BA14">
      <w:pPr>
        <w:pStyle w:val="11"/>
      </w:pPr>
      <w:r>
        <w:rPr>
          <w:rFonts w:hint="eastAsia"/>
          <w:i/>
        </w:rPr>
        <w:t>Energy Dispersive X-ray Spectroscopy (EDS)</w:t>
      </w:r>
      <w:r>
        <w:rPr>
          <w:i/>
        </w:rPr>
        <w:t xml:space="preserve">: </w:t>
      </w:r>
      <w:r>
        <w:t xml:space="preserve">NCM811 powder was diluted with deionized water to a concentration of 0.2 mg/mL and dropped onto a copper grid. The sample was subsequently analyzed using an S-4800 high-resolution field emission SEM (Hitachi, Japan) equipped with an energy-dispersive X-ray spectroscopy (EDS) system for elemental composition analysis.  </w:t>
      </w:r>
    </w:p>
    <w:p w14:paraId="58968BC6">
      <w:pPr>
        <w:pStyle w:val="11"/>
      </w:pPr>
      <w:r>
        <w:rPr>
          <w:i/>
        </w:rPr>
        <w:t xml:space="preserve">Hydrodynamic Diameter and Zeta Potential: </w:t>
      </w:r>
      <w:r>
        <w:t xml:space="preserve">The hydrodynamic diameter and zeta potential of NCM811 particles were measured using a ZetaSizer Nano ZS90 (Malvern Instrument, Worcs, UK) equipped with an MPT-2 autotitrator and a 4 mW helium-neon laser. </w:t>
      </w:r>
    </w:p>
    <w:p w14:paraId="7B047634">
      <w:pPr>
        <w:pStyle w:val="12"/>
      </w:pPr>
      <w:r>
        <w:t>1.2 Animals, experimental protocol, and behavioral tests</w:t>
      </w:r>
    </w:p>
    <w:p w14:paraId="2CEC19C0">
      <w:pPr>
        <w:pStyle w:val="11"/>
      </w:pPr>
      <w:r>
        <w:rPr>
          <w:i/>
          <w:iCs w:val="0"/>
        </w:rPr>
        <w:t>Morris water maze (MWM) test:</w:t>
      </w:r>
      <w:r>
        <w:t xml:space="preserve"> For the first batch, MWM tests were performed on day 30, 60 and 90 of exposure. For the second batch, MWM tests were performed on the day 35 of exposure. </w:t>
      </w:r>
      <w:r>
        <w:rPr>
          <w:iCs w:val="0"/>
        </w:rPr>
        <w:t>The MWM apparatus (RWD Life Science, China) consisted of a circular water tank and a movable platform. The navigation test was conducte</w:t>
      </w:r>
      <w:r>
        <w:t>d on days 1-4. The platform was placed in the center of a randomly selected quadrant, named platform quadrant. Experiments began at 9:00 a.m each day. Mice were gently placed into the water from the center points of four different quadrants and allowed to swim freely for 60 s. If a mouse found the platform within 60 s, it was allowed to stay on the platform for 15 s before being removed. If the mouse failed to find the platform within 60 s, it was guided to the platform and allowed</w:t>
      </w:r>
      <w:r>
        <w:rPr>
          <w:b/>
          <w:bCs w:val="0"/>
          <w:i/>
        </w:rPr>
        <w:t xml:space="preserve"> </w:t>
      </w:r>
      <w:r>
        <w:rPr>
          <w:iCs w:val="0"/>
        </w:rPr>
        <w:t>to stay for 15 s. During this phase, the escape latency was recorded.</w:t>
      </w:r>
    </w:p>
    <w:p w14:paraId="78A4A6CD">
      <w:pPr>
        <w:pStyle w:val="13"/>
        <w:spacing w:line="480" w:lineRule="auto"/>
        <w:ind w:left="0"/>
        <w:jc w:val="both"/>
        <w:rPr>
          <w:rFonts w:ascii="Times New Roman" w:hAnsi="Times New Roman" w:cs="Times New Roman"/>
          <w:bCs/>
          <w:sz w:val="24"/>
        </w:rPr>
      </w:pPr>
      <w:r>
        <w:rPr>
          <w:rFonts w:ascii="Times New Roman" w:hAnsi="Times New Roman" w:cs="Times New Roman"/>
          <w:bCs/>
          <w:sz w:val="24"/>
        </w:rPr>
        <w:t>On the 5</w:t>
      </w:r>
      <w:r>
        <w:rPr>
          <w:rFonts w:ascii="Times New Roman" w:hAnsi="Times New Roman" w:cs="Times New Roman"/>
          <w:bCs/>
          <w:sz w:val="24"/>
          <w:vertAlign w:val="superscript"/>
        </w:rPr>
        <w:t>th</w:t>
      </w:r>
      <w:r>
        <w:rPr>
          <w:rFonts w:ascii="Times New Roman" w:hAnsi="Times New Roman" w:cs="Times New Roman"/>
          <w:bCs/>
          <w:sz w:val="24"/>
        </w:rPr>
        <w:t xml:space="preserve"> day, the spatial probe test was conducted. The platform was removed, and each mouse was placed into the water from the quadrant opposite to the platform quadrant. The swimming path, swimming speed, number of crossings over the original platform location, and time spent in the platform quadrant were recorded for 60 s.</w:t>
      </w:r>
    </w:p>
    <w:p w14:paraId="5F9FEE52">
      <w:pPr>
        <w:pStyle w:val="11"/>
        <w:rPr>
          <w:i/>
        </w:rPr>
      </w:pPr>
      <w:r>
        <w:rPr>
          <w:i/>
          <w:iCs w:val="0"/>
        </w:rPr>
        <w:t>Rotarod Test:</w:t>
      </w:r>
      <w:r>
        <w:t xml:space="preserve"> For the second batch, rotarod tests were performed on the day 30 of exposure. Mice were placed on the rotarod (Beijing Zhongshi Dichuang Technology Development Co., Ltd., China) at a speed of 5 revolutions per minute (rpm). Mice were required to stay on the rod for 60 s. If a mouse fell off during this period, it was immediately placed back on the rods. This training was repeated three times with 10-minute intervals between sessions. During the testing phase, the rod accelerated from 4 rpm to 40 rpm over 300 s. The latency to fall, distance traveled, and speed were recorded for each mouse.</w:t>
      </w:r>
    </w:p>
    <w:p w14:paraId="1586B6B4">
      <w:pPr>
        <w:pStyle w:val="11"/>
        <w:rPr>
          <w:i/>
        </w:rPr>
      </w:pPr>
      <w:r>
        <w:rPr>
          <w:i/>
          <w:iCs w:val="0"/>
        </w:rPr>
        <w:t>Open Field Test (OFT):</w:t>
      </w:r>
      <w:r>
        <w:t xml:space="preserve"> For the second batch, OFT was performed on day 31 of exposure. Each mouse was placed in the center of the open field apparatus and allowed for free movement for 5 min. The movement track was recorded by a video tracking system (RWD Life Science, Shenzhen, China). The bottom and walls of the apparatus are wiped with 75% ethanol after each trial. Data were analyzed using Smart v3.0 software (RWD Life Science, Shenzhen, China).</w:t>
      </w:r>
    </w:p>
    <w:p w14:paraId="6C1BD4FB">
      <w:pPr>
        <w:pStyle w:val="11"/>
        <w:rPr>
          <w:i/>
        </w:rPr>
      </w:pPr>
      <w:r>
        <w:rPr>
          <w:i/>
          <w:iCs w:val="0"/>
        </w:rPr>
        <w:t>Novel Object Recognition (NOR) Test:</w:t>
      </w:r>
      <w:r>
        <w:t xml:space="preserve"> For the second batch, NOR tests were performed on the day 31 of exposure. On the days 1 and 2 of the tests, two cylinders were placed in the apparatus, 8 cm away from the walls. Each mouse was allowed to freely explore the environment for 10 min. On day 3, one cylinder was replaced with a cube. The number of explorations and the time spent exploring each object within 10 minutes were recorded. </w:t>
      </w:r>
    </w:p>
    <w:p w14:paraId="714B4AAF">
      <w:pPr>
        <w:pStyle w:val="12"/>
      </w:pPr>
      <w:r>
        <w:t>1.3 Metal burden analysis and pathology of murine brain tissues</w:t>
      </w:r>
    </w:p>
    <w:p w14:paraId="2566C30C">
      <w:pPr>
        <w:pStyle w:val="12"/>
        <w:rPr>
          <w:b w:val="0"/>
          <w:bCs/>
        </w:rPr>
      </w:pPr>
      <w:r>
        <w:rPr>
          <w:b w:val="0"/>
          <w:bCs/>
          <w:i/>
          <w:iCs/>
        </w:rPr>
        <w:t>Hematoxylin-eosin (H&amp;E) Staining:</w:t>
      </w:r>
      <w:r>
        <w:rPr>
          <w:b w:val="0"/>
          <w:bCs/>
        </w:rPr>
        <w:t xml:space="preserve"> After behavioral testing, mice were anesthetized using 4% isoflurane (RWD, Shenzhen, China)</w:t>
      </w:r>
      <w:r>
        <w:rPr>
          <w:b w:val="0"/>
          <w:bCs/>
          <w:i/>
          <w:iCs/>
        </w:rPr>
        <w:t>.</w:t>
      </w:r>
      <w:r>
        <w:rPr>
          <w:b w:val="0"/>
          <w:bCs/>
        </w:rPr>
        <w:t xml:space="preserve"> </w:t>
      </w:r>
      <w:r>
        <w:rPr>
          <w:b w:val="0"/>
          <w:bCs/>
          <w:i/>
          <w:iCs/>
        </w:rPr>
        <w:t>B</w:t>
      </w:r>
      <w:r>
        <w:rPr>
          <w:b w:val="0"/>
          <w:bCs/>
        </w:rPr>
        <w:t xml:space="preserve">rain tissues were collected and fixed with 4% polyformaldehyde (PFA). The tissues were embedded in paraffin and cut into 4 μm sections. The sections were dewaxed and stained </w:t>
      </w:r>
      <w:r>
        <w:rPr>
          <w:b w:val="0"/>
          <w:bCs/>
          <w:i/>
          <w:iCs/>
        </w:rPr>
        <w:t>with an</w:t>
      </w:r>
      <w:r>
        <w:rPr>
          <w:b w:val="0"/>
          <w:bCs/>
        </w:rPr>
        <w:t xml:space="preserve"> H&amp;E staining kit (Beyotime, shanghai, China). Images were acquired using a slide scanning system (3D HISTECH, Hungary).</w:t>
      </w:r>
    </w:p>
    <w:p w14:paraId="72555CFA">
      <w:pPr>
        <w:pStyle w:val="12"/>
        <w:rPr>
          <w:b w:val="0"/>
          <w:bCs/>
        </w:rPr>
      </w:pPr>
      <w:r>
        <w:rPr>
          <w:b w:val="0"/>
          <w:bCs/>
          <w:i/>
          <w:iCs/>
        </w:rPr>
        <w:t>Nissl Staining:</w:t>
      </w:r>
      <w:r>
        <w:rPr>
          <w:b w:val="0"/>
          <w:bCs/>
        </w:rPr>
        <w:t xml:space="preserve"> Brain tissue sections were dewaxed and stained with Nissl staining solution (Beyotime, China) for 6 min. Images were acquired using a slide scanning system (3D HISTECH, Hungary).</w:t>
      </w:r>
    </w:p>
    <w:p w14:paraId="4FDCD6CF">
      <w:pPr>
        <w:pStyle w:val="12"/>
        <w:rPr>
          <w:b w:val="0"/>
          <w:bCs/>
        </w:rPr>
      </w:pPr>
      <w:r>
        <w:rPr>
          <w:b w:val="0"/>
          <w:bCs/>
          <w:i/>
          <w:iCs/>
        </w:rPr>
        <w:t xml:space="preserve">Golgi Staining: </w:t>
      </w:r>
      <w:r>
        <w:rPr>
          <w:b w:val="0"/>
          <w:bCs/>
        </w:rPr>
        <w:t xml:space="preserve">Golgi staining was performed using the FD Rapid Golgi Stain Kit (FD Neuro Technologies, USA). </w:t>
      </w:r>
      <w:r>
        <w:rPr>
          <w:b w:val="0"/>
          <w:bCs/>
          <w:color w:val="000000"/>
        </w:rPr>
        <w:t>After behavioral testing, mice were anesthetized using 4% isoflurane (RWD, Shenzhen, China)</w:t>
      </w:r>
      <w:r>
        <w:rPr>
          <w:b w:val="0"/>
          <w:bCs/>
          <w:i/>
          <w:iCs/>
          <w:color w:val="000000"/>
        </w:rPr>
        <w:t>. B</w:t>
      </w:r>
      <w:r>
        <w:rPr>
          <w:b w:val="0"/>
          <w:bCs/>
          <w:color w:val="000000"/>
        </w:rPr>
        <w:t xml:space="preserve">ains </w:t>
      </w:r>
      <w:r>
        <w:rPr>
          <w:b w:val="0"/>
          <w:bCs/>
        </w:rPr>
        <w:t>tissues were first</w:t>
      </w:r>
      <w:r>
        <w:rPr>
          <w:b w:val="0"/>
          <w:bCs/>
          <w:i/>
          <w:iCs/>
        </w:rPr>
        <w:t>ly</w:t>
      </w:r>
      <w:r>
        <w:rPr>
          <w:b w:val="0"/>
          <w:bCs/>
        </w:rPr>
        <w:t xml:space="preserve"> immersed in a mix</w:t>
      </w:r>
      <w:r>
        <w:rPr>
          <w:b w:val="0"/>
          <w:bCs/>
          <w:i/>
          <w:iCs/>
        </w:rPr>
        <w:t>ture of</w:t>
      </w:r>
      <w:r>
        <w:rPr>
          <w:b w:val="0"/>
          <w:bCs/>
        </w:rPr>
        <w:t xml:space="preserve"> solution A and B, </w:t>
      </w:r>
      <w:r>
        <w:rPr>
          <w:b w:val="0"/>
          <w:bCs/>
          <w:i/>
          <w:iCs/>
        </w:rPr>
        <w:t xml:space="preserve">and </w:t>
      </w:r>
      <w:r>
        <w:rPr>
          <w:b w:val="0"/>
          <w:bCs/>
        </w:rPr>
        <w:t xml:space="preserve">stored in </w:t>
      </w:r>
      <w:r>
        <w:rPr>
          <w:b w:val="0"/>
          <w:bCs/>
          <w:i/>
          <w:iCs/>
        </w:rPr>
        <w:t xml:space="preserve">the </w:t>
      </w:r>
      <w:r>
        <w:rPr>
          <w:b w:val="0"/>
          <w:bCs/>
        </w:rPr>
        <w:t xml:space="preserve">dark at room temperature for 2 weeks. The tissues were then transferred to solution C and stored in </w:t>
      </w:r>
      <w:r>
        <w:rPr>
          <w:b w:val="0"/>
          <w:bCs/>
          <w:i/>
          <w:iCs/>
        </w:rPr>
        <w:t xml:space="preserve">the </w:t>
      </w:r>
      <w:r>
        <w:rPr>
          <w:b w:val="0"/>
          <w:bCs/>
        </w:rPr>
        <w:t xml:space="preserve">dark at room temperature for </w:t>
      </w:r>
      <w:r>
        <w:rPr>
          <w:b w:val="0"/>
          <w:bCs/>
          <w:i/>
          <w:iCs/>
        </w:rPr>
        <w:t xml:space="preserve">an </w:t>
      </w:r>
      <w:r>
        <w:rPr>
          <w:b w:val="0"/>
          <w:bCs/>
        </w:rPr>
        <w:t xml:space="preserve">additional week. </w:t>
      </w:r>
      <w:r>
        <w:rPr>
          <w:b w:val="0"/>
          <w:bCs/>
          <w:i/>
          <w:iCs/>
        </w:rPr>
        <w:t xml:space="preserve">Subsequently, </w:t>
      </w:r>
      <w:r>
        <w:rPr>
          <w:b w:val="0"/>
          <w:bCs/>
        </w:rPr>
        <w:t>the brain tissues were sectioned into 100 μm thick slices and stained. Images were acquired using a slide scanning system (3D HISTECH, Hungary). The number of dendritic spines was quantified using ImageJ software.</w:t>
      </w:r>
    </w:p>
    <w:p w14:paraId="02C686DE">
      <w:pPr>
        <w:pStyle w:val="11"/>
        <w:rPr>
          <w:bCs w:val="0"/>
        </w:rPr>
      </w:pPr>
    </w:p>
    <w:p w14:paraId="0B6C2DE7">
      <w:pPr>
        <w:pStyle w:val="12"/>
      </w:pPr>
    </w:p>
    <w:p w14:paraId="606C820A">
      <w:pPr>
        <w:pStyle w:val="8"/>
        <w:spacing w:line="480" w:lineRule="auto"/>
        <w:rPr>
          <w:rFonts w:eastAsiaTheme="minorEastAsia"/>
          <w:sz w:val="32"/>
          <w:szCs w:val="32"/>
          <w:lang w:eastAsia="zh-CN"/>
        </w:rPr>
      </w:pPr>
    </w:p>
    <w:p w14:paraId="650162C9">
      <w:pPr>
        <w:rPr>
          <w:rFonts w:eastAsiaTheme="minorEastAsia"/>
          <w:b/>
          <w:sz w:val="32"/>
          <w:szCs w:val="32"/>
          <w:lang w:val="en-US" w:eastAsia="zh-CN"/>
        </w:rPr>
      </w:pPr>
      <w:r>
        <w:rPr>
          <w:rFonts w:eastAsiaTheme="minorEastAsia"/>
          <w:sz w:val="32"/>
          <w:szCs w:val="32"/>
          <w:lang w:eastAsia="zh-CN"/>
        </w:rPr>
        <w:br w:type="page"/>
      </w:r>
    </w:p>
    <w:p w14:paraId="4EEF723A">
      <w:pPr>
        <w:pStyle w:val="8"/>
        <w:spacing w:line="480" w:lineRule="auto"/>
        <w:rPr>
          <w:rFonts w:eastAsiaTheme="minorEastAsia"/>
          <w:sz w:val="32"/>
          <w:szCs w:val="32"/>
          <w:lang w:eastAsia="zh-CN"/>
        </w:rPr>
      </w:pPr>
      <w:r>
        <w:rPr>
          <w:rFonts w:eastAsiaTheme="minorEastAsia"/>
          <w:sz w:val="32"/>
          <w:szCs w:val="32"/>
          <w:lang w:eastAsia="zh-CN"/>
        </w:rPr>
        <w:t xml:space="preserve">2. </w:t>
      </w:r>
      <w:r>
        <w:rPr>
          <w:rFonts w:hint="eastAsia" w:eastAsiaTheme="minorEastAsia"/>
          <w:sz w:val="32"/>
          <w:szCs w:val="32"/>
          <w:lang w:eastAsia="zh-CN"/>
        </w:rPr>
        <w:t>S</w:t>
      </w:r>
      <w:r>
        <w:rPr>
          <w:rFonts w:eastAsiaTheme="minorEastAsia"/>
          <w:sz w:val="32"/>
          <w:szCs w:val="32"/>
          <w:lang w:eastAsia="zh-CN"/>
        </w:rPr>
        <w:t>upplementary figures</w:t>
      </w:r>
    </w:p>
    <w:p w14:paraId="61BCC215">
      <w:pPr>
        <w:spacing w:line="480" w:lineRule="auto"/>
        <w:rPr>
          <w:b/>
          <w:bCs/>
          <w:lang w:val="en-US" w:eastAsia="zh-CN"/>
        </w:rPr>
      </w:pPr>
      <w:r>
        <w:rPr>
          <w:b/>
          <w:bCs/>
          <w:lang w:val="en-US"/>
        </w:rPr>
        <w:t>Figure S1 Transmission Electron Microscopy (TEM) of Brain Tissue</w:t>
      </w:r>
    </w:p>
    <w:p w14:paraId="216E9BCA">
      <w:pPr>
        <w:spacing w:line="480" w:lineRule="auto"/>
        <w:rPr>
          <w:rFonts w:asciiTheme="minorHAnsi" w:hAnsiTheme="minorHAnsi" w:cstheme="minorBidi"/>
          <w:sz w:val="22"/>
        </w:rPr>
      </w:pPr>
      <w:r>
        <w:drawing>
          <wp:inline distT="0" distB="0" distL="0" distR="0">
            <wp:extent cx="3899535" cy="3092450"/>
            <wp:effectExtent l="0" t="0" r="5715"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3899535" cy="3092450"/>
                    </a:xfrm>
                    <a:prstGeom prst="rect">
                      <a:avLst/>
                    </a:prstGeom>
                    <a:noFill/>
                    <a:ln>
                      <a:noFill/>
                    </a:ln>
                  </pic:spPr>
                </pic:pic>
              </a:graphicData>
            </a:graphic>
          </wp:inline>
        </w:drawing>
      </w:r>
    </w:p>
    <w:p w14:paraId="2B5B4709">
      <w:pPr>
        <w:spacing w:line="480" w:lineRule="auto"/>
      </w:pPr>
    </w:p>
    <w:p w14:paraId="67C0F604">
      <w:pPr>
        <w:spacing w:line="480" w:lineRule="auto"/>
      </w:pPr>
    </w:p>
    <w:p w14:paraId="70AAD7CF">
      <w:pPr>
        <w:spacing w:line="480" w:lineRule="auto"/>
      </w:pPr>
    </w:p>
    <w:p w14:paraId="652610AA">
      <w:pPr>
        <w:spacing w:line="480" w:lineRule="auto"/>
      </w:pPr>
    </w:p>
    <w:p w14:paraId="0739E6E4">
      <w:pPr>
        <w:spacing w:line="480" w:lineRule="auto"/>
      </w:pPr>
    </w:p>
    <w:p w14:paraId="535B748C">
      <w:pPr>
        <w:spacing w:line="480" w:lineRule="auto"/>
      </w:pPr>
      <w:r>
        <w:br w:type="page"/>
      </w:r>
    </w:p>
    <w:p w14:paraId="7692EFC7">
      <w:pPr>
        <w:spacing w:line="480" w:lineRule="auto"/>
        <w:rPr>
          <w:b/>
          <w:bCs/>
        </w:rPr>
      </w:pPr>
      <w:r>
        <w:rPr>
          <w:rFonts w:hint="eastAsia"/>
          <w:b/>
          <w:bCs/>
        </w:rPr>
        <w:t>F</w:t>
      </w:r>
      <w:r>
        <w:rPr>
          <w:b/>
          <w:bCs/>
        </w:rPr>
        <w:t>igure S</w:t>
      </w:r>
      <w:r>
        <w:rPr>
          <w:rFonts w:hint="eastAsia" w:eastAsia="宋体"/>
          <w:b/>
          <w:bCs/>
          <w:lang w:val="en-US" w:eastAsia="zh-CN"/>
        </w:rPr>
        <w:t>2</w:t>
      </w:r>
      <w:r>
        <w:rPr>
          <w:rFonts w:hint="eastAsia"/>
          <w:b/>
          <w:bCs/>
        </w:rPr>
        <w:t xml:space="preserve"> c-Fos </w:t>
      </w:r>
      <w:r>
        <w:rPr>
          <w:b/>
          <w:bCs/>
        </w:rPr>
        <w:t>e</w:t>
      </w:r>
      <w:r>
        <w:rPr>
          <w:rFonts w:hint="eastAsia"/>
          <w:b/>
          <w:bCs/>
        </w:rPr>
        <w:t xml:space="preserve">xpression in </w:t>
      </w:r>
      <w:r>
        <w:rPr>
          <w:b/>
          <w:bCs/>
        </w:rPr>
        <w:t>b</w:t>
      </w:r>
      <w:r>
        <w:rPr>
          <w:rFonts w:hint="eastAsia"/>
          <w:b/>
          <w:bCs/>
        </w:rPr>
        <w:t xml:space="preserve">rain </w:t>
      </w:r>
      <w:r>
        <w:rPr>
          <w:b/>
          <w:bCs/>
        </w:rPr>
        <w:t>t</w:t>
      </w:r>
      <w:r>
        <w:rPr>
          <w:rFonts w:hint="eastAsia"/>
          <w:b/>
          <w:bCs/>
        </w:rPr>
        <w:t xml:space="preserve">issues of </w:t>
      </w:r>
      <w:r>
        <w:rPr>
          <w:b/>
          <w:bCs/>
        </w:rPr>
        <w:t>c</w:t>
      </w:r>
      <w:r>
        <w:rPr>
          <w:rFonts w:hint="eastAsia"/>
          <w:b/>
          <w:bCs/>
        </w:rPr>
        <w:t xml:space="preserve">ontrol and NCM811 </w:t>
      </w:r>
      <w:r>
        <w:rPr>
          <w:b/>
          <w:bCs/>
        </w:rPr>
        <w:t>g</w:t>
      </w:r>
      <w:r>
        <w:rPr>
          <w:rFonts w:hint="eastAsia"/>
          <w:b/>
          <w:bCs/>
        </w:rPr>
        <w:t>roups</w:t>
      </w:r>
    </w:p>
    <w:p w14:paraId="7E05AC16">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pPr>
      <w:r>
        <w:rPr>
          <w:rFonts w:hint="eastAsia"/>
        </w:rPr>
        <w:t xml:space="preserve">Immunofluorescence staining of c-Fos in </w:t>
      </w:r>
      <w:r>
        <w:t>CA3 regions</w:t>
      </w:r>
      <w:r>
        <w:rPr>
          <w:rFonts w:hint="eastAsia"/>
        </w:rPr>
        <w:t xml:space="preserve"> of </w:t>
      </w:r>
      <w:r>
        <w:t>c</w:t>
      </w:r>
      <w:r>
        <w:rPr>
          <w:rFonts w:hint="eastAsia"/>
        </w:rPr>
        <w:t xml:space="preserve">ontrol and NCM811 </w:t>
      </w:r>
      <w:r>
        <w:t>g</w:t>
      </w:r>
      <w:r>
        <w:rPr>
          <w:rFonts w:hint="eastAsia"/>
        </w:rPr>
        <w:t>roups</w:t>
      </w:r>
    </w:p>
    <w:p w14:paraId="59727A29">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rPr>
          <w:b/>
          <w:bCs/>
          <w:color w:val="000000" w:themeColor="text1"/>
          <w:shd w:val="clear" w:color="auto" w:fill="FFFFFF"/>
          <w14:textFill>
            <w14:solidFill>
              <w14:schemeClr w14:val="tx1"/>
            </w14:solidFill>
          </w14:textFill>
        </w:rPr>
      </w:pPr>
      <w:r>
        <w:rPr>
          <w:b/>
          <w:bCs/>
          <w:color w:val="000000" w:themeColor="text1"/>
          <w:shd w:val="clear" w:color="auto" w:fill="FFFFFF"/>
          <w14:textFill>
            <w14:solidFill>
              <w14:schemeClr w14:val="tx1"/>
            </w14:solidFill>
          </w14:textFill>
        </w:rPr>
        <w:drawing>
          <wp:inline distT="0" distB="0" distL="0" distR="0">
            <wp:extent cx="4096385" cy="2372995"/>
            <wp:effectExtent l="0" t="0" r="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4100507" cy="2375619"/>
                    </a:xfrm>
                    <a:prstGeom prst="rect">
                      <a:avLst/>
                    </a:prstGeom>
                  </pic:spPr>
                </pic:pic>
              </a:graphicData>
            </a:graphic>
          </wp:inline>
        </w:drawing>
      </w:r>
    </w:p>
    <w:p w14:paraId="3AA7BF81">
      <w:pPr>
        <w:spacing w:line="480" w:lineRule="auto"/>
        <w:rPr>
          <w:rFonts w:eastAsia="宋体"/>
          <w:b/>
          <w:bCs/>
          <w:lang w:val="en-US" w:eastAsia="zh-CN"/>
        </w:rPr>
      </w:pPr>
    </w:p>
    <w:p w14:paraId="506A86E9">
      <w:pPr>
        <w:rPr>
          <w:rFonts w:eastAsia="宋体"/>
          <w:b/>
          <w:bCs/>
          <w:lang w:val="en-US" w:eastAsia="zh-CN"/>
        </w:rPr>
      </w:pPr>
      <w:r>
        <w:rPr>
          <w:rFonts w:hint="eastAsia" w:eastAsia="宋体"/>
          <w:b/>
          <w:bCs/>
          <w:lang w:val="en-US" w:eastAsia="zh-CN"/>
        </w:rPr>
        <w:br w:type="page"/>
      </w:r>
    </w:p>
    <w:p w14:paraId="21C68AB0">
      <w:pPr>
        <w:spacing w:line="480" w:lineRule="auto"/>
        <w:rPr>
          <w:b/>
          <w:bCs/>
          <w:lang w:val="en-US"/>
        </w:rPr>
      </w:pPr>
      <w:r>
        <w:rPr>
          <w:b/>
          <w:bCs/>
          <w:lang w:val="en-US"/>
        </w:rPr>
        <w:t>Figure S</w:t>
      </w:r>
      <w:r>
        <w:rPr>
          <w:rFonts w:hint="eastAsia" w:eastAsia="宋体"/>
          <w:b/>
          <w:bCs/>
          <w:lang w:val="en-US" w:eastAsia="zh-CN"/>
        </w:rPr>
        <w:t>3</w:t>
      </w:r>
      <w:r>
        <w:rPr>
          <w:b/>
          <w:bCs/>
          <w:lang w:val="en-US"/>
        </w:rPr>
        <w:t xml:space="preserve"> Genes expression in hippocampus from control and NCM811-exposed mice.</w:t>
      </w:r>
    </w:p>
    <w:p w14:paraId="49DDC5B1">
      <w:pPr>
        <w:spacing w:line="360" w:lineRule="auto"/>
      </w:pPr>
      <w:bookmarkStart w:id="0" w:name="_Hlk200962277"/>
      <w:r>
        <w:t>(a) Volcano plot of differentially expressed genes between control and NCM811-exposed mice. (b) KEGG enrichment of differentially expressed genes. (c) Genes related to Mn transportation, homeostasis, and detox in control vs. NCM811-exposed group. (d) Genes in the pathway of Mn-related neurotoxicity in control vs. NCM811-exposed group. (e) Heatmap of Co-functional genes related to m</w:t>
      </w:r>
      <w:r>
        <w:rPr>
          <w:vertAlign w:val="superscript"/>
        </w:rPr>
        <w:t>6</w:t>
      </w:r>
      <w:r>
        <w:t>A modification, iron metabolism, and α-synuclein pathology in control vs. NCM811-exposed group. (f) Genes in the pathway of Co-r</w:t>
      </w:r>
      <w:r>
        <w:rPr>
          <w:rFonts w:hint="eastAsia"/>
        </w:rPr>
        <w:t xml:space="preserve">elated neurotoxicity in control vs. NCM811-exposed group. </w:t>
      </w:r>
    </w:p>
    <w:p w14:paraId="2D048730">
      <w:pPr>
        <w:spacing w:line="480" w:lineRule="auto"/>
        <w:jc w:val="both"/>
      </w:pPr>
      <w:r>
        <w:drawing>
          <wp:inline distT="0" distB="0" distL="0" distR="0">
            <wp:extent cx="5274310" cy="6609715"/>
            <wp:effectExtent l="0" t="0" r="254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6609715"/>
                    </a:xfrm>
                    <a:prstGeom prst="rect">
                      <a:avLst/>
                    </a:prstGeom>
                  </pic:spPr>
                </pic:pic>
              </a:graphicData>
            </a:graphic>
          </wp:inline>
        </w:drawing>
      </w:r>
    </w:p>
    <w:p w14:paraId="4067D116">
      <w:pPr>
        <w:spacing w:line="480" w:lineRule="auto"/>
        <w:rPr>
          <w:lang w:val="en-US"/>
        </w:rPr>
      </w:pPr>
    </w:p>
    <w:bookmarkEnd w:id="0"/>
    <w:p w14:paraId="568596EB">
      <w:pPr>
        <w:spacing w:line="480" w:lineRule="auto"/>
        <w:rPr>
          <w:rFonts w:asciiTheme="minorHAnsi" w:hAnsiTheme="minorHAnsi" w:cstheme="minorBidi"/>
          <w:sz w:val="22"/>
        </w:rPr>
      </w:pPr>
    </w:p>
    <w:p w14:paraId="5DFB8984">
      <w:pPr>
        <w:spacing w:line="480" w:lineRule="auto"/>
        <w:rPr>
          <w:rFonts w:asciiTheme="minorHAnsi" w:hAnsiTheme="minorHAnsi" w:cstheme="minorBidi"/>
          <w:sz w:val="22"/>
        </w:rPr>
      </w:pPr>
      <w:r>
        <w:rPr>
          <w:rFonts w:asciiTheme="minorHAnsi" w:hAnsiTheme="minorHAnsi" w:cstheme="minorBidi"/>
          <w:sz w:val="22"/>
        </w:rPr>
        <w:br w:type="page"/>
      </w:r>
    </w:p>
    <w:p w14:paraId="2AC3551C">
      <w:pPr>
        <w:spacing w:line="480" w:lineRule="auto"/>
        <w:rPr>
          <w:b/>
          <w:bCs/>
          <w:lang w:val="en-US"/>
        </w:rPr>
      </w:pPr>
      <w:bookmarkStart w:id="1" w:name="_Hlk200962338"/>
      <w:r>
        <w:rPr>
          <w:b/>
          <w:bCs/>
          <w:lang w:val="en-US"/>
        </w:rPr>
        <w:t>Figure S</w:t>
      </w:r>
      <w:r>
        <w:rPr>
          <w:rFonts w:eastAsia="宋体"/>
          <w:b/>
          <w:bCs/>
          <w:lang w:val="en-US" w:eastAsia="zh-CN"/>
        </w:rPr>
        <w:t>4</w:t>
      </w:r>
      <w:r>
        <w:rPr>
          <w:b/>
          <w:bCs/>
          <w:lang w:val="en-US"/>
        </w:rPr>
        <w:t xml:space="preserve"> M1 Polarization of BV2 Cells </w:t>
      </w:r>
      <w:r>
        <w:rPr>
          <w:b/>
          <w:bCs/>
          <w:i/>
          <w:iCs/>
          <w:lang w:val="en-US"/>
        </w:rPr>
        <w:t>in Vitro</w:t>
      </w:r>
    </w:p>
    <w:bookmarkEnd w:id="1"/>
    <w:p w14:paraId="22A4D8C8">
      <w:pPr>
        <w:spacing w:line="480" w:lineRule="auto"/>
        <w:rPr>
          <w:b/>
          <w:bCs/>
        </w:rPr>
      </w:pPr>
      <w:r>
        <w:rPr>
          <w:b/>
        </w:rPr>
        <w:drawing>
          <wp:inline distT="0" distB="0" distL="0" distR="0">
            <wp:extent cx="5271135" cy="3895725"/>
            <wp:effectExtent l="0" t="0" r="571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271135" cy="3895725"/>
                    </a:xfrm>
                    <a:prstGeom prst="rect">
                      <a:avLst/>
                    </a:prstGeom>
                    <a:noFill/>
                    <a:ln>
                      <a:noFill/>
                    </a:ln>
                  </pic:spPr>
                </pic:pic>
              </a:graphicData>
            </a:graphic>
          </wp:inline>
        </w:drawing>
      </w:r>
    </w:p>
    <w:p w14:paraId="291D40AE">
      <w:pPr>
        <w:spacing w:line="480" w:lineRule="auto"/>
        <w:rPr>
          <w:b/>
          <w:bCs/>
        </w:rPr>
      </w:pPr>
      <w:r>
        <w:rPr>
          <w:b/>
          <w:bCs/>
        </w:rPr>
        <w:br w:type="page"/>
      </w:r>
    </w:p>
    <w:p w14:paraId="62472CC0">
      <w:pPr>
        <w:spacing w:line="480" w:lineRule="auto"/>
        <w:rPr>
          <w:b/>
          <w:bCs/>
          <w:lang w:val="en-US"/>
        </w:rPr>
      </w:pPr>
      <w:bookmarkStart w:id="2" w:name="_Hlk200963020"/>
      <w:r>
        <w:rPr>
          <w:b/>
          <w:bCs/>
          <w:lang w:val="en-US"/>
        </w:rPr>
        <w:t xml:space="preserve">Figure S5 BBB Permeability of mice </w:t>
      </w:r>
    </w:p>
    <w:p w14:paraId="5B7A1BC5">
      <w:pPr>
        <w:spacing w:line="360" w:lineRule="auto"/>
        <w:jc w:val="both"/>
      </w:pPr>
      <w:r>
        <w:rPr>
          <w:lang w:val="en-US"/>
        </w:rPr>
        <w:t xml:space="preserve">(a) Images of mice injected with PBS and Evans blue. (b) Macroscopic images of mice and murine brains injected with Evans blue and the quantification of Evans blue content in brains of control and NCM811 groups </w:t>
      </w:r>
      <w:r>
        <w:t xml:space="preserve">(n=5/group, unpaired </w:t>
      </w:r>
      <w:r>
        <w:rPr>
          <w:i/>
          <w:iCs/>
        </w:rPr>
        <w:t>t</w:t>
      </w:r>
      <w:r>
        <w:t>-test)</w:t>
      </w:r>
      <w:r>
        <w:rPr>
          <w:lang w:val="en-US"/>
        </w:rPr>
        <w:t xml:space="preserve">. (c) </w:t>
      </w:r>
      <w:r>
        <w:rPr>
          <w:rFonts w:hint="eastAsia"/>
        </w:rPr>
        <w:t>Serum S100</w:t>
      </w:r>
      <w:r>
        <w:t xml:space="preserve">β </w:t>
      </w:r>
      <w:r>
        <w:rPr>
          <w:rFonts w:hint="eastAsia"/>
        </w:rPr>
        <w:t>Levels in Control and NCM811 Groups Determined by ELISA</w:t>
      </w:r>
      <w:r>
        <w:t xml:space="preserve">. (n=5/group, unpaired </w:t>
      </w:r>
      <w:r>
        <w:rPr>
          <w:i/>
          <w:iCs/>
        </w:rPr>
        <w:t>t</w:t>
      </w:r>
      <w:r>
        <w:t>-test)</w:t>
      </w:r>
    </w:p>
    <w:p w14:paraId="768842A2">
      <w:pPr>
        <w:rPr>
          <w:b/>
          <w:bCs/>
        </w:rPr>
      </w:pPr>
    </w:p>
    <w:bookmarkEnd w:id="2"/>
    <w:p w14:paraId="4C4F2314">
      <w:pPr>
        <w:spacing w:line="480" w:lineRule="auto"/>
        <w:rPr>
          <w:b/>
          <w:bCs/>
        </w:rPr>
      </w:pPr>
      <w:r>
        <w:rPr>
          <w:rFonts w:hint="eastAsia"/>
          <w:b/>
          <w:bCs/>
        </w:rPr>
        <w:drawing>
          <wp:inline distT="0" distB="0" distL="0" distR="0">
            <wp:extent cx="5227320" cy="37306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27320" cy="3730752"/>
                    </a:xfrm>
                    <a:prstGeom prst="rect">
                      <a:avLst/>
                    </a:prstGeom>
                  </pic:spPr>
                </pic:pic>
              </a:graphicData>
            </a:graphic>
          </wp:inline>
        </w:drawing>
      </w:r>
    </w:p>
    <w:p w14:paraId="452CF3D6">
      <w:pPr>
        <w:spacing w:line="480" w:lineRule="auto"/>
        <w:rPr>
          <w:b/>
          <w:bCs/>
        </w:rPr>
      </w:pPr>
      <w:r>
        <w:rPr>
          <w:b/>
          <w:bCs/>
        </w:rPr>
        <w:br w:type="page"/>
      </w:r>
    </w:p>
    <w:p w14:paraId="68932A69">
      <w:pPr>
        <w:spacing w:line="480" w:lineRule="auto"/>
        <w:rPr>
          <w:b/>
          <w:bCs/>
          <w:lang w:val="en-US"/>
        </w:rPr>
      </w:pPr>
      <w:r>
        <w:rPr>
          <w:b/>
          <w:bCs/>
          <w:lang w:val="en-US"/>
        </w:rPr>
        <w:t>Figure S6 Degradation of NCM811 in Serum.</w:t>
      </w:r>
    </w:p>
    <w:p w14:paraId="70CEFDE5">
      <w:pPr>
        <w:spacing w:line="480" w:lineRule="auto"/>
        <w:rPr>
          <w:lang w:val="en-US"/>
        </w:rPr>
      </w:pPr>
      <w:r>
        <w:rPr>
          <w:lang w:val="en-US"/>
        </w:rPr>
        <w:t xml:space="preserve">(a) Representative transmission electron microscopy (TEM) image. (b) Energy-dispersive X-ray spectroscopy (EDS) elemental analysis. (c) Quantitative Analysis of Nickel (Ni), Cobalt (Co), and Manganese (Mn) in NCM811 Co-Incubated with Serum by ICP-MS. </w:t>
      </w:r>
    </w:p>
    <w:p w14:paraId="25E27A69">
      <w:pPr>
        <w:spacing w:line="480" w:lineRule="auto"/>
        <w:rPr>
          <w:b/>
          <w:bCs/>
        </w:rPr>
      </w:pPr>
      <w:r>
        <w:rPr>
          <w:b/>
        </w:rPr>
        <w:drawing>
          <wp:inline distT="0" distB="0" distL="0" distR="0">
            <wp:extent cx="5271135" cy="2025015"/>
            <wp:effectExtent l="0" t="0" r="5715"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271135" cy="2025015"/>
                    </a:xfrm>
                    <a:prstGeom prst="rect">
                      <a:avLst/>
                    </a:prstGeom>
                    <a:noFill/>
                    <a:ln>
                      <a:noFill/>
                    </a:ln>
                  </pic:spPr>
                </pic:pic>
              </a:graphicData>
            </a:graphic>
          </wp:inline>
        </w:drawing>
      </w:r>
    </w:p>
    <w:p w14:paraId="7C7EDA1E">
      <w:pPr>
        <w:spacing w:line="480" w:lineRule="auto"/>
        <w:rPr>
          <w:b/>
          <w:bCs/>
        </w:rPr>
      </w:pPr>
      <w:r>
        <w:rPr>
          <w:b/>
          <w:bCs/>
        </w:rPr>
        <w:br w:type="page"/>
      </w:r>
    </w:p>
    <w:p w14:paraId="2982B825">
      <w:pPr>
        <w:spacing w:line="480" w:lineRule="auto"/>
        <w:rPr>
          <w:b/>
          <w:bCs/>
          <w:lang w:val="en-US"/>
        </w:rPr>
      </w:pPr>
      <w:r>
        <w:rPr>
          <w:b/>
          <w:bCs/>
          <w:lang w:val="en-US"/>
        </w:rPr>
        <w:t>Figure S7 Volcano Plot of RNA-seq Profile of Peripheral Blood Lymphocytes from the WT and NCM811 groups</w:t>
      </w:r>
    </w:p>
    <w:p w14:paraId="16DF380A">
      <w:pPr>
        <w:spacing w:line="480" w:lineRule="auto"/>
        <w:rPr>
          <w:b/>
          <w:bCs/>
          <w:lang w:val="en-US"/>
        </w:rPr>
      </w:pPr>
    </w:p>
    <w:p w14:paraId="0C758DE2">
      <w:pPr>
        <w:spacing w:line="480" w:lineRule="auto"/>
        <w:rPr>
          <w:b/>
          <w:bCs/>
        </w:rPr>
      </w:pPr>
      <w:r>
        <w:rPr>
          <w:b/>
        </w:rPr>
        <w:drawing>
          <wp:inline distT="0" distB="0" distL="0" distR="0">
            <wp:extent cx="2948940" cy="2958465"/>
            <wp:effectExtent l="0" t="0" r="381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
                      <a:extLst>
                        <a:ext uri="{28A0092B-C50C-407E-A947-70E740481C1C}">
                          <a14:useLocalDpi xmlns:a14="http://schemas.microsoft.com/office/drawing/2010/main" val="0"/>
                        </a:ext>
                      </a:extLst>
                    </a:blip>
                    <a:srcRect t="-1016" b="6320"/>
                    <a:stretch>
                      <a:fillRect/>
                    </a:stretch>
                  </pic:blipFill>
                  <pic:spPr>
                    <a:xfrm>
                      <a:off x="0" y="0"/>
                      <a:ext cx="2948940" cy="2958465"/>
                    </a:xfrm>
                    <a:prstGeom prst="rect">
                      <a:avLst/>
                    </a:prstGeom>
                    <a:noFill/>
                    <a:ln>
                      <a:noFill/>
                    </a:ln>
                  </pic:spPr>
                </pic:pic>
              </a:graphicData>
            </a:graphic>
          </wp:inline>
        </w:drawing>
      </w:r>
    </w:p>
    <w:p w14:paraId="14D0DE10">
      <w:pPr>
        <w:spacing w:line="480" w:lineRule="auto"/>
        <w:rPr>
          <w:b/>
          <w:bCs/>
        </w:rPr>
      </w:pPr>
      <w:r>
        <w:rPr>
          <w:b/>
          <w:bCs/>
        </w:rPr>
        <w:br w:type="page"/>
      </w:r>
    </w:p>
    <w:p w14:paraId="2BE3BFD0">
      <w:pPr>
        <w:spacing w:line="480" w:lineRule="auto"/>
        <w:rPr>
          <w:b/>
          <w:bCs/>
          <w:lang w:val="en-US"/>
        </w:rPr>
      </w:pPr>
      <w:r>
        <w:rPr>
          <w:b/>
          <w:bCs/>
          <w:lang w:val="en-US"/>
        </w:rPr>
        <w:t>Figure S8 IL17A contents in serum and brain</w:t>
      </w:r>
    </w:p>
    <w:p w14:paraId="5B426AA6">
      <w:pPr>
        <w:spacing w:line="480" w:lineRule="auto"/>
        <w:rPr>
          <w:lang w:val="en-US"/>
        </w:rPr>
      </w:pPr>
      <w:r>
        <w:rPr>
          <w:lang w:val="en-US"/>
        </w:rPr>
        <w:t xml:space="preserve">(a) IL-17 concentration in serum by ELISA assays. (b) Co-expression of CD4 and IL17A in murine brains and quantification of IL-17A expression in brain sections. </w:t>
      </w:r>
    </w:p>
    <w:p w14:paraId="1E024536">
      <w:pPr>
        <w:spacing w:line="480" w:lineRule="auto"/>
        <w:rPr>
          <w:b/>
          <w:bCs/>
          <w:lang w:val="en-US"/>
        </w:rPr>
      </w:pPr>
    </w:p>
    <w:p w14:paraId="5825F977">
      <w:pPr>
        <w:spacing w:line="480" w:lineRule="auto"/>
        <w:rPr>
          <w:b/>
          <w:bCs/>
        </w:rPr>
      </w:pPr>
      <w:r>
        <w:rPr>
          <w:b/>
        </w:rPr>
        <w:drawing>
          <wp:inline distT="0" distB="0" distL="0" distR="0">
            <wp:extent cx="5271135" cy="1825625"/>
            <wp:effectExtent l="0" t="0" r="5715"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1135" cy="1825625"/>
                    </a:xfrm>
                    <a:prstGeom prst="rect">
                      <a:avLst/>
                    </a:prstGeom>
                    <a:noFill/>
                    <a:ln>
                      <a:noFill/>
                    </a:ln>
                  </pic:spPr>
                </pic:pic>
              </a:graphicData>
            </a:graphic>
          </wp:inline>
        </w:drawing>
      </w:r>
    </w:p>
    <w:p w14:paraId="43E023B2">
      <w:pPr>
        <w:spacing w:line="480" w:lineRule="auto"/>
        <w:rPr>
          <w:b/>
          <w:bCs/>
        </w:rPr>
      </w:pPr>
    </w:p>
    <w:p w14:paraId="08C638DC">
      <w:pPr>
        <w:spacing w:line="480" w:lineRule="auto"/>
        <w:rPr>
          <w:b/>
          <w:bCs/>
        </w:rPr>
      </w:pPr>
      <w:r>
        <w:rPr>
          <w:b/>
          <w:bCs/>
        </w:rPr>
        <w:br w:type="page"/>
      </w:r>
    </w:p>
    <w:p w14:paraId="546D9921">
      <w:pPr>
        <w:spacing w:line="360" w:lineRule="auto"/>
        <w:rPr>
          <w:b/>
          <w:bCs/>
        </w:rPr>
      </w:pPr>
      <w:r>
        <w:rPr>
          <w:rFonts w:hint="eastAsia"/>
          <w:b/>
          <w:bCs/>
        </w:rPr>
        <w:t>F</w:t>
      </w:r>
      <w:r>
        <w:rPr>
          <w:b/>
          <w:bCs/>
        </w:rPr>
        <w:t>igure S9</w:t>
      </w:r>
      <w:r>
        <w:rPr>
          <w:rFonts w:hint="eastAsia"/>
          <w:b/>
          <w:bCs/>
        </w:rPr>
        <w:t xml:space="preserve"> </w:t>
      </w:r>
      <w:r>
        <w:rPr>
          <w:b/>
          <w:bCs/>
        </w:rPr>
        <w:t xml:space="preserve">Polarization of microglia </w:t>
      </w:r>
      <w:r>
        <w:rPr>
          <w:rFonts w:hint="eastAsia"/>
          <w:b/>
          <w:bCs/>
        </w:rPr>
        <w:t>in brain tissue</w:t>
      </w:r>
    </w:p>
    <w:p w14:paraId="0B9867A6">
      <w:pPr>
        <w:spacing w:line="360" w:lineRule="auto"/>
        <w:rPr>
          <w:b/>
          <w:bCs/>
          <w:color w:val="000000" w:themeColor="text1"/>
          <w:shd w:val="clear" w:color="auto" w:fill="FFFFFF"/>
          <w14:textFill>
            <w14:solidFill>
              <w14:schemeClr w14:val="tx1"/>
            </w14:solidFill>
          </w14:textFill>
        </w:rPr>
      </w:pPr>
      <w:r>
        <w:rPr>
          <w:rFonts w:hint="eastAsia"/>
        </w:rPr>
        <w:t>Immunofluorescence co-localization of iNOS and Arg1 in the brain tissues of the four groups</w:t>
      </w:r>
      <w:r>
        <w:t xml:space="preserve"> (n=3/group, two-way ANOVA, **</w:t>
      </w:r>
      <w:r>
        <w:rPr>
          <w:i/>
          <w:iCs/>
        </w:rPr>
        <w:t>P</w:t>
      </w:r>
      <w:r>
        <w:t>&lt;0.01)</w:t>
      </w:r>
      <w:r>
        <w:rPr>
          <w:rFonts w:hint="eastAsia"/>
        </w:rPr>
        <w:t>.</w:t>
      </w:r>
    </w:p>
    <w:p w14:paraId="70CD0AEB">
      <w:pPr>
        <w:pStyle w:val="4"/>
        <w:widowControl/>
        <w:spacing w:line="360" w:lineRule="auto"/>
        <w:rPr>
          <w:rFonts w:ascii="Times New Roman" w:hAnsi="Times New Roman" w:eastAsia="宋体" w:cs="Times New Roman"/>
          <w:color w:val="222222"/>
          <w:spacing w:val="2"/>
        </w:rPr>
      </w:pPr>
      <w:r>
        <w:rPr>
          <w:rFonts w:ascii="Times New Roman" w:hAnsi="Times New Roman" w:eastAsia="宋体" w:cs="Times New Roman"/>
          <w:color w:val="222222"/>
          <w:spacing w:val="2"/>
        </w:rPr>
        <w:drawing>
          <wp:inline distT="0" distB="0" distL="0" distR="0">
            <wp:extent cx="5274310" cy="295275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2952750"/>
                    </a:xfrm>
                    <a:prstGeom prst="rect">
                      <a:avLst/>
                    </a:prstGeom>
                  </pic:spPr>
                </pic:pic>
              </a:graphicData>
            </a:graphic>
          </wp:inline>
        </w:drawing>
      </w:r>
    </w:p>
    <w:p w14:paraId="0528BB62">
      <w:pPr>
        <w:pStyle w:val="4"/>
        <w:widowControl/>
        <w:spacing w:line="360" w:lineRule="auto"/>
        <w:rPr>
          <w:rFonts w:ascii="Times New Roman" w:hAnsi="Times New Roman" w:eastAsia="宋体" w:cs="Times New Roman"/>
          <w:color w:val="222222"/>
          <w:spacing w:val="2"/>
        </w:rPr>
      </w:pPr>
    </w:p>
    <w:p w14:paraId="11AE91F0">
      <w:pPr>
        <w:spacing w:line="480" w:lineRule="auto"/>
        <w:rPr>
          <w:rFonts w:eastAsia="宋体"/>
          <w:b/>
          <w:bCs/>
          <w:lang w:val="en-US" w:eastAsia="zh-CN"/>
        </w:rPr>
      </w:pPr>
    </w:p>
    <w:p w14:paraId="271E9E15">
      <w:pPr>
        <w:spacing w:line="480" w:lineRule="auto"/>
        <w:rPr>
          <w:rFonts w:eastAsia="宋体"/>
          <w:b/>
          <w:bCs/>
          <w:lang w:val="en-US" w:eastAsia="zh-CN"/>
        </w:rPr>
      </w:pPr>
    </w:p>
    <w:p w14:paraId="7F622D56">
      <w:pPr>
        <w:spacing w:line="480" w:lineRule="auto"/>
        <w:rPr>
          <w:rFonts w:eastAsia="宋体"/>
          <w:b/>
          <w:bCs/>
          <w:lang w:val="en-US" w:eastAsia="zh-CN"/>
        </w:rPr>
      </w:pPr>
    </w:p>
    <w:p w14:paraId="17F76D3C">
      <w:pPr>
        <w:rPr>
          <w:b/>
          <w:bCs/>
          <w:lang w:val="en-US"/>
        </w:rPr>
      </w:pPr>
      <w:r>
        <w:rPr>
          <w:b/>
          <w:bCs/>
          <w:lang w:val="en-US"/>
        </w:rPr>
        <w:br w:type="page"/>
      </w:r>
    </w:p>
    <w:p w14:paraId="0469246B">
      <w:pPr>
        <w:spacing w:line="360" w:lineRule="auto"/>
        <w:rPr>
          <w:b/>
          <w:bCs/>
        </w:rPr>
      </w:pPr>
      <w:r>
        <w:rPr>
          <w:rFonts w:hint="eastAsia"/>
          <w:b/>
          <w:bCs/>
        </w:rPr>
        <w:t>F</w:t>
      </w:r>
      <w:r>
        <w:rPr>
          <w:b/>
          <w:bCs/>
        </w:rPr>
        <w:t>igure S10</w:t>
      </w:r>
      <w:r>
        <w:rPr>
          <w:rFonts w:hint="eastAsia"/>
          <w:b/>
          <w:bCs/>
        </w:rPr>
        <w:t xml:space="preserve"> </w:t>
      </w:r>
      <w:r>
        <w:rPr>
          <w:b/>
          <w:bCs/>
        </w:rPr>
        <w:t>Activation of the complement pathway</w:t>
      </w:r>
      <w:r>
        <w:rPr>
          <w:rFonts w:hint="eastAsia"/>
          <w:b/>
          <w:bCs/>
        </w:rPr>
        <w:t xml:space="preserve"> </w:t>
      </w:r>
      <w:r>
        <w:rPr>
          <w:b/>
          <w:bCs/>
        </w:rPr>
        <w:t xml:space="preserve">in microglia </w:t>
      </w:r>
    </w:p>
    <w:p w14:paraId="50A6DEBB">
      <w:pPr>
        <w:spacing w:line="360" w:lineRule="auto"/>
        <w:rPr>
          <w:b/>
          <w:bCs/>
          <w:color w:val="000000" w:themeColor="text1"/>
          <w:shd w:val="clear" w:color="auto" w:fill="FFFFFF"/>
          <w14:textFill>
            <w14:solidFill>
              <w14:schemeClr w14:val="tx1"/>
            </w14:solidFill>
          </w14:textFill>
        </w:rPr>
      </w:pPr>
      <w:r>
        <w:rPr>
          <w:rFonts w:hint="eastAsia"/>
          <w:color w:val="000000" w:themeColor="text1"/>
          <w:shd w:val="clear" w:color="auto" w:fill="FFFFFF"/>
          <w14:textFill>
            <w14:solidFill>
              <w14:schemeClr w14:val="tx1"/>
            </w14:solidFill>
          </w14:textFill>
        </w:rPr>
        <w:t>(</w:t>
      </w:r>
      <w:r>
        <w:rPr>
          <w:color w:val="000000" w:themeColor="text1"/>
          <w:shd w:val="clear" w:color="auto" w:fill="FFFFFF"/>
          <w14:textFill>
            <w14:solidFill>
              <w14:schemeClr w14:val="tx1"/>
            </w14:solidFill>
          </w14:textFill>
        </w:rPr>
        <w:t xml:space="preserve">a) </w:t>
      </w:r>
      <w:r>
        <w:rPr>
          <w:rFonts w:hint="eastAsia"/>
        </w:rPr>
        <w:t xml:space="preserve">Immunofluorescence co-localization of C1q and Iba1 in the brain tissues of </w:t>
      </w:r>
      <w:r>
        <w:t>mice</w:t>
      </w:r>
      <w:r>
        <w:rPr>
          <w:rFonts w:hint="eastAsia"/>
        </w:rPr>
        <w:t xml:space="preserve">. (b) Immunofluorescence co-localization of C3q and Iba1 in the brain tissues of </w:t>
      </w:r>
      <w:r>
        <w:t>mice</w:t>
      </w:r>
      <w:r>
        <w:rPr>
          <w:rFonts w:hint="eastAsia"/>
        </w:rPr>
        <w:t>.</w:t>
      </w:r>
    </w:p>
    <w:p w14:paraId="2CBB9F2D">
      <w:pPr>
        <w:pStyle w:val="4"/>
        <w:widowControl/>
        <w:spacing w:line="360" w:lineRule="auto"/>
        <w:rPr>
          <w:rFonts w:ascii="Times New Roman" w:hAnsi="Times New Roman" w:eastAsia="宋体" w:cs="Times New Roman"/>
          <w:color w:val="222222"/>
          <w:spacing w:val="2"/>
        </w:rPr>
      </w:pPr>
      <w:r>
        <w:rPr>
          <w:rFonts w:ascii="Times New Roman" w:hAnsi="Times New Roman" w:eastAsia="宋体" w:cs="Times New Roman"/>
          <w:color w:val="222222"/>
          <w:spacing w:val="2"/>
        </w:rPr>
        <w:drawing>
          <wp:inline distT="0" distB="0" distL="0" distR="0">
            <wp:extent cx="5274310" cy="6398895"/>
            <wp:effectExtent l="0" t="0" r="2540"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6398895"/>
                    </a:xfrm>
                    <a:prstGeom prst="rect">
                      <a:avLst/>
                    </a:prstGeom>
                  </pic:spPr>
                </pic:pic>
              </a:graphicData>
            </a:graphic>
          </wp:inline>
        </w:drawing>
      </w:r>
    </w:p>
    <w:p w14:paraId="46008B66">
      <w:pPr>
        <w:spacing w:line="480" w:lineRule="auto"/>
        <w:rPr>
          <w:b/>
          <w:bCs/>
          <w:lang w:val="en-US"/>
        </w:rPr>
      </w:pPr>
    </w:p>
    <w:p w14:paraId="32744BE4">
      <w:pPr>
        <w:spacing w:line="480" w:lineRule="auto"/>
        <w:rPr>
          <w:b/>
          <w:bCs/>
          <w:lang w:val="en-US"/>
        </w:rPr>
      </w:pPr>
    </w:p>
    <w:p w14:paraId="638AEA13">
      <w:pPr>
        <w:spacing w:line="480" w:lineRule="auto"/>
        <w:rPr>
          <w:b/>
          <w:bCs/>
          <w:lang w:val="en-US"/>
        </w:rPr>
      </w:pPr>
    </w:p>
    <w:p w14:paraId="45FDFCC2">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bCs/>
          <w:color w:val="000000" w:themeColor="text1"/>
          <w:shd w:val="clear" w:color="auto" w:fill="FFFFFF"/>
          <w14:textFill>
            <w14:solidFill>
              <w14:schemeClr w14:val="tx1"/>
            </w14:solidFill>
          </w14:textFill>
        </w:rPr>
      </w:pPr>
      <w:r>
        <w:rPr>
          <w:rFonts w:hint="eastAsia" w:eastAsiaTheme="minorEastAsia"/>
          <w:b/>
          <w:bCs/>
          <w:lang w:val="en-US" w:eastAsia="zh-CN"/>
        </w:rPr>
        <w:t>F</w:t>
      </w:r>
      <w:r>
        <w:rPr>
          <w:rFonts w:eastAsiaTheme="minorEastAsia"/>
          <w:b/>
          <w:bCs/>
          <w:lang w:val="en-US" w:eastAsia="zh-CN"/>
        </w:rPr>
        <w:t xml:space="preserve">igure S11 </w:t>
      </w:r>
      <w:r>
        <w:rPr>
          <w:rFonts w:hint="eastAsia"/>
          <w:b/>
          <w:bCs/>
          <w:color w:val="000000" w:themeColor="text1"/>
          <w:shd w:val="clear" w:color="auto" w:fill="FFFFFF"/>
          <w14:textFill>
            <w14:solidFill>
              <w14:schemeClr w14:val="tx1"/>
            </w14:solidFill>
          </w14:textFill>
        </w:rPr>
        <w:t>Heatmap of neurotransmitter and amino acid metabolite profiles in WT NCM811 and KO NCM811 groups</w:t>
      </w:r>
    </w:p>
    <w:p w14:paraId="3BD67E4F">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themeColor="text1"/>
          <w:shd w:val="clear" w:color="auto" w:fill="FFFFFF"/>
          <w14:textFill>
            <w14:solidFill>
              <w14:schemeClr w14:val="tx1"/>
            </w14:solidFill>
          </w14:textFill>
        </w:rPr>
      </w:pPr>
      <w:r>
        <w:rPr>
          <w:color w:val="000000" w:themeColor="text1"/>
          <w:shd w:val="clear" w:color="auto" w:fill="FFFFFF"/>
          <w14:textFill>
            <w14:solidFill>
              <w14:schemeClr w14:val="tx1"/>
            </w14:solidFill>
          </w14:textFill>
        </w:rPr>
        <w:t>(</w:t>
      </w:r>
      <w:r>
        <w:rPr>
          <w:color w:val="000000"/>
          <w:shd w:val="clear" w:color="auto" w:fill="FFFFFF"/>
        </w:rPr>
        <w:t>Mann-Whitney U test,</w:t>
      </w:r>
      <w:r>
        <w:rPr>
          <w:color w:val="000000" w:themeColor="text1"/>
          <w:shd w:val="clear" w:color="auto" w:fill="FFFFFF"/>
          <w14:textFill>
            <w14:solidFill>
              <w14:schemeClr w14:val="tx1"/>
            </w14:solidFill>
          </w14:textFill>
        </w:rPr>
        <w:t xml:space="preserve"> n=5/group)</w:t>
      </w:r>
    </w:p>
    <w:p w14:paraId="2EB882C1">
      <w:pPr>
        <w:tabs>
          <w:tab w:val="left" w:pos="28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bCs/>
          <w:color w:val="000000" w:themeColor="text1"/>
          <w:shd w:val="clear" w:color="auto" w:fill="FFFFFF"/>
          <w14:textFill>
            <w14:solidFill>
              <w14:schemeClr w14:val="tx1"/>
            </w14:solidFill>
          </w14:textFill>
        </w:rPr>
      </w:pPr>
      <w:r>
        <w:rPr>
          <w:b/>
          <w:bCs/>
          <w:color w:val="000000" w:themeColor="text1"/>
          <w:shd w:val="clear" w:color="auto" w:fill="FFFFFF"/>
          <w14:textFill>
            <w14:solidFill>
              <w14:schemeClr w14:val="tx1"/>
            </w14:solidFill>
          </w14:textFill>
        </w:rPr>
        <w:drawing>
          <wp:inline distT="0" distB="0" distL="0" distR="0">
            <wp:extent cx="4842510" cy="2543810"/>
            <wp:effectExtent l="0" t="0" r="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5" cstate="print">
                      <a:extLst>
                        <a:ext uri="{28A0092B-C50C-407E-A947-70E740481C1C}">
                          <a14:useLocalDpi xmlns:a14="http://schemas.microsoft.com/office/drawing/2010/main" val="0"/>
                        </a:ext>
                      </a:extLst>
                    </a:blip>
                    <a:srcRect t="8572"/>
                    <a:stretch>
                      <a:fillRect/>
                    </a:stretch>
                  </pic:blipFill>
                  <pic:spPr>
                    <a:xfrm>
                      <a:off x="0" y="0"/>
                      <a:ext cx="4843272" cy="2544263"/>
                    </a:xfrm>
                    <a:prstGeom prst="rect">
                      <a:avLst/>
                    </a:prstGeom>
                    <a:ln>
                      <a:noFill/>
                    </a:ln>
                  </pic:spPr>
                </pic:pic>
              </a:graphicData>
            </a:graphic>
          </wp:inline>
        </w:drawing>
      </w:r>
    </w:p>
    <w:p w14:paraId="777CE8B9">
      <w:pPr>
        <w:pStyle w:val="4"/>
        <w:widowControl/>
        <w:spacing w:line="360" w:lineRule="auto"/>
        <w:rPr>
          <w:rFonts w:ascii="Times New Roman" w:hAnsi="Times New Roman" w:eastAsia="宋体" w:cs="Times New Roman"/>
          <w:color w:val="4874CB" w:themeColor="accent1"/>
          <w:spacing w:val="2"/>
          <w14:textFill>
            <w14:solidFill>
              <w14:schemeClr w14:val="accent1"/>
            </w14:solidFill>
          </w14:textFill>
        </w:rPr>
      </w:pPr>
    </w:p>
    <w:p w14:paraId="11562C1D">
      <w:pPr>
        <w:spacing w:line="480" w:lineRule="auto"/>
        <w:rPr>
          <w:rFonts w:eastAsiaTheme="minorEastAsia"/>
          <w:b/>
          <w:bCs/>
          <w:lang w:val="en-US" w:eastAsia="zh-CN"/>
        </w:rPr>
      </w:pPr>
    </w:p>
    <w:p w14:paraId="063F775F">
      <w:pPr>
        <w:spacing w:line="480" w:lineRule="auto"/>
        <w:rPr>
          <w:b/>
          <w:bCs/>
          <w:lang w:val="en-US"/>
        </w:rPr>
      </w:pPr>
    </w:p>
    <w:p w14:paraId="7DFA0B07">
      <w:pPr>
        <w:spacing w:line="480" w:lineRule="auto"/>
        <w:rPr>
          <w:b/>
          <w:bCs/>
          <w:lang w:val="en-US"/>
        </w:rPr>
      </w:pPr>
    </w:p>
    <w:p w14:paraId="3E692587">
      <w:pPr>
        <w:rPr>
          <w:b/>
          <w:bCs/>
          <w:lang w:val="en-US"/>
        </w:rPr>
      </w:pPr>
      <w:r>
        <w:rPr>
          <w:b/>
          <w:bCs/>
          <w:lang w:val="en-US"/>
        </w:rPr>
        <w:br w:type="page"/>
      </w:r>
    </w:p>
    <w:p w14:paraId="0A265045">
      <w:pPr>
        <w:spacing w:line="480" w:lineRule="auto"/>
        <w:rPr>
          <w:b/>
          <w:bCs/>
          <w:lang w:val="en-US"/>
        </w:rPr>
      </w:pPr>
      <w:r>
        <w:rPr>
          <w:b/>
          <w:bCs/>
          <w:lang w:val="en-US"/>
        </w:rPr>
        <w:t>Figure S</w:t>
      </w:r>
      <w:r>
        <w:rPr>
          <w:rFonts w:hint="eastAsia" w:eastAsia="宋体"/>
          <w:b/>
          <w:bCs/>
          <w:lang w:val="en-US" w:eastAsia="zh-CN"/>
        </w:rPr>
        <w:t>1</w:t>
      </w:r>
      <w:r>
        <w:rPr>
          <w:rFonts w:eastAsia="宋体"/>
          <w:b/>
          <w:bCs/>
          <w:lang w:val="en-US" w:eastAsia="zh-CN"/>
        </w:rPr>
        <w:t>2</w:t>
      </w:r>
      <w:r>
        <w:rPr>
          <w:b/>
          <w:bCs/>
          <w:lang w:val="en-US"/>
        </w:rPr>
        <w:t xml:space="preserve">Volcano Plot of Hippocampal RNA-seq profile from the WT-NCM811 group versus the </w:t>
      </w:r>
      <w:r>
        <w:rPr>
          <w:b/>
          <w:bCs/>
          <w:i/>
          <w:iCs/>
          <w:lang w:val="en-US"/>
        </w:rPr>
        <w:t>il17ra</w:t>
      </w:r>
      <w:r>
        <w:rPr>
          <w:b/>
          <w:bCs/>
          <w:lang w:val="en-US"/>
        </w:rPr>
        <w:t xml:space="preserve"> KO-NCM811 group</w:t>
      </w:r>
    </w:p>
    <w:p w14:paraId="7AE226C1">
      <w:pPr>
        <w:spacing w:line="480" w:lineRule="auto"/>
        <w:rPr>
          <w:b/>
          <w:bCs/>
        </w:rPr>
      </w:pPr>
      <w:r>
        <w:rPr>
          <w:b/>
        </w:rPr>
        <w:drawing>
          <wp:inline distT="0" distB="0" distL="0" distR="0">
            <wp:extent cx="4049395" cy="2703830"/>
            <wp:effectExtent l="0" t="0" r="8255"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049395" cy="2703830"/>
                    </a:xfrm>
                    <a:prstGeom prst="rect">
                      <a:avLst/>
                    </a:prstGeom>
                    <a:noFill/>
                    <a:ln>
                      <a:noFill/>
                    </a:ln>
                  </pic:spPr>
                </pic:pic>
              </a:graphicData>
            </a:graphic>
          </wp:inline>
        </w:drawing>
      </w:r>
    </w:p>
    <w:p w14:paraId="50F5A316">
      <w:pPr>
        <w:spacing w:line="240" w:lineRule="auto"/>
        <w:rPr>
          <w:b/>
          <w:bCs/>
        </w:rPr>
      </w:pPr>
      <w:bookmarkStart w:id="3" w:name="_GoBack"/>
      <w:bookmarkEnd w:id="3"/>
      <w:r>
        <w:rPr>
          <w:b/>
          <w:bCs/>
        </w:rPr>
        <w:br w:type="page"/>
      </w:r>
    </w:p>
    <w:p w14:paraId="0E7EBAA0">
      <w:pPr>
        <w:spacing w:line="480" w:lineRule="auto"/>
        <w:rPr>
          <w:b/>
          <w:bCs/>
          <w:lang w:val="en-US"/>
        </w:rPr>
      </w:pPr>
      <w:r>
        <w:rPr>
          <w:rFonts w:hint="eastAsia" w:eastAsiaTheme="minorEastAsia"/>
          <w:b/>
          <w:bCs/>
          <w:lang w:eastAsia="zh-CN"/>
        </w:rPr>
        <w:t>F</w:t>
      </w:r>
      <w:r>
        <w:rPr>
          <w:rFonts w:eastAsiaTheme="minorEastAsia"/>
          <w:b/>
          <w:bCs/>
          <w:lang w:eastAsia="zh-CN"/>
        </w:rPr>
        <w:t>igure S13</w:t>
      </w:r>
      <w:r>
        <w:rPr>
          <w:b/>
          <w:bCs/>
          <w:lang w:val="en-US"/>
        </w:rPr>
        <w:t xml:space="preserve"> Expression of PKA and EPAC1</w:t>
      </w:r>
      <w:r>
        <w:rPr>
          <w:b/>
          <w:bCs/>
          <w:i/>
          <w:iCs/>
          <w:lang w:val="en-US"/>
        </w:rPr>
        <w:t xml:space="preserve"> in vitro</w:t>
      </w:r>
      <w:r>
        <w:rPr>
          <w:b/>
          <w:bCs/>
          <w:lang w:val="en-US"/>
        </w:rPr>
        <w:t xml:space="preserve"> </w:t>
      </w:r>
    </w:p>
    <w:p w14:paraId="2ECA3869">
      <w:pPr>
        <w:spacing w:line="480" w:lineRule="auto"/>
        <w:rPr>
          <w:lang w:val="en-US"/>
        </w:rPr>
      </w:pPr>
      <w:r>
        <w:rPr>
          <w:lang w:val="en-US"/>
        </w:rPr>
        <w:t xml:space="preserve">(a) </w:t>
      </w:r>
      <w:r>
        <w:t>Western blot assay and</w:t>
      </w:r>
      <w:r>
        <w:rPr>
          <w:lang w:val="en-US"/>
        </w:rPr>
        <w:t xml:space="preserve"> quantitation of PKA and P-PKA in BV2 cells (two-way ANOVA, n = 3/group, </w:t>
      </w:r>
      <w:r>
        <w:rPr>
          <w:i/>
          <w:iCs/>
          <w:lang w:val="en-US"/>
        </w:rPr>
        <w:t>P</w:t>
      </w:r>
      <w:r>
        <w:rPr>
          <w:lang w:val="en-US"/>
        </w:rPr>
        <w:t xml:space="preserve"> &lt; 0.05). (b) </w:t>
      </w:r>
      <w:r>
        <w:t>Western blot assay and q</w:t>
      </w:r>
      <w:r>
        <w:rPr>
          <w:rFonts w:hint="eastAsia"/>
        </w:rPr>
        <w:t xml:space="preserve">uantification of </w:t>
      </w:r>
      <w:r>
        <w:t xml:space="preserve">EPAC1 </w:t>
      </w:r>
      <w:r>
        <w:rPr>
          <w:rFonts w:hint="eastAsia"/>
        </w:rPr>
        <w:t>protein expression levels in BV2 cells</w:t>
      </w:r>
      <w:r>
        <w:t xml:space="preserve"> (n=3</w:t>
      </w:r>
      <w:r>
        <w:rPr>
          <w:rFonts w:hint="eastAsia"/>
        </w:rPr>
        <w:t>/</w:t>
      </w:r>
      <w:r>
        <w:t xml:space="preserve">group, two-way ANOVA, * </w:t>
      </w:r>
      <w:r>
        <w:rPr>
          <w:i/>
          <w:iCs/>
        </w:rPr>
        <w:t>P</w:t>
      </w:r>
      <w:r>
        <w:t>&lt;0.05)</w:t>
      </w:r>
    </w:p>
    <w:p w14:paraId="48C3B155">
      <w:pPr>
        <w:spacing w:line="480" w:lineRule="auto"/>
        <w:rPr>
          <w:rFonts w:eastAsiaTheme="minorEastAsia"/>
          <w:b/>
          <w:bCs/>
          <w:lang w:val="en-US" w:eastAsia="zh-CN"/>
        </w:rPr>
      </w:pPr>
    </w:p>
    <w:p w14:paraId="6A7AF678">
      <w:pPr>
        <w:spacing w:line="480" w:lineRule="auto"/>
        <w:rPr>
          <w:b/>
          <w:bCs/>
        </w:rPr>
      </w:pPr>
      <w:r>
        <w:rPr>
          <w:b/>
          <w:bCs/>
        </w:rPr>
        <w:drawing>
          <wp:inline distT="0" distB="0" distL="0" distR="0">
            <wp:extent cx="5274310" cy="3519805"/>
            <wp:effectExtent l="0" t="0" r="254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3519805"/>
                    </a:xfrm>
                    <a:prstGeom prst="rect">
                      <a:avLst/>
                    </a:prstGeom>
                  </pic:spPr>
                </pic:pic>
              </a:graphicData>
            </a:graphic>
          </wp:inline>
        </w:drawing>
      </w:r>
    </w:p>
    <w:p w14:paraId="79AFA619">
      <w:pPr>
        <w:rPr>
          <w:b/>
          <w:bCs/>
        </w:rPr>
      </w:pPr>
      <w:r>
        <w:rPr>
          <w:b/>
          <w:bCs/>
        </w:rPr>
        <w:br w:type="page"/>
      </w:r>
    </w:p>
    <w:p w14:paraId="233A957B">
      <w:pPr>
        <w:spacing w:line="480" w:lineRule="auto"/>
      </w:pPr>
      <w:r>
        <w:rPr>
          <w:rFonts w:hint="eastAsia"/>
          <w:b/>
          <w:bCs/>
        </w:rPr>
        <w:t>F</w:t>
      </w:r>
      <w:r>
        <w:rPr>
          <w:b/>
          <w:bCs/>
        </w:rPr>
        <w:t>igure S</w:t>
      </w:r>
      <w:r>
        <w:rPr>
          <w:rFonts w:hint="eastAsia" w:eastAsia="宋体"/>
          <w:b/>
          <w:bCs/>
          <w:lang w:val="en-US" w:eastAsia="zh-CN"/>
        </w:rPr>
        <w:t>1</w:t>
      </w:r>
      <w:r>
        <w:rPr>
          <w:rFonts w:eastAsia="宋体"/>
          <w:b/>
          <w:bCs/>
          <w:lang w:val="en-US" w:eastAsia="zh-CN"/>
        </w:rPr>
        <w:t>4</w:t>
      </w:r>
      <w:r>
        <w:rPr>
          <w:rFonts w:hint="eastAsia"/>
          <w:b/>
          <w:bCs/>
        </w:rPr>
        <w:t xml:space="preserve"> Co-localization of EPAC1 and Iba1 in brain tissue </w:t>
      </w:r>
      <w:r>
        <w:drawing>
          <wp:inline distT="0" distB="0" distL="0" distR="0">
            <wp:extent cx="4455795" cy="3154680"/>
            <wp:effectExtent l="0" t="0" r="1905"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56176" cy="3154680"/>
                    </a:xfrm>
                    <a:prstGeom prst="rect">
                      <a:avLst/>
                    </a:prstGeom>
                  </pic:spPr>
                </pic:pic>
              </a:graphicData>
            </a:graphic>
          </wp:inline>
        </w:drawing>
      </w:r>
    </w:p>
    <w:p w14:paraId="6B249B48">
      <w:pPr>
        <w:spacing w:line="480" w:lineRule="auto"/>
        <w:rPr>
          <w:rFonts w:eastAsia="宋体"/>
          <w:b/>
          <w:bCs/>
          <w:lang w:val="en-US" w:eastAsia="zh-CN"/>
        </w:rPr>
      </w:pPr>
    </w:p>
    <w:p w14:paraId="7665FFE1">
      <w:pPr>
        <w:rPr>
          <w:rFonts w:eastAsia="宋体"/>
          <w:b/>
          <w:bCs/>
          <w:lang w:val="en-US" w:eastAsia="zh-CN"/>
        </w:rPr>
      </w:pPr>
      <w:r>
        <w:rPr>
          <w:rFonts w:hint="eastAsia" w:eastAsia="宋体"/>
          <w:b/>
          <w:bCs/>
          <w:lang w:val="en-US" w:eastAsia="zh-CN"/>
        </w:rPr>
        <w:br w:type="page"/>
      </w:r>
    </w:p>
    <w:p w14:paraId="623BB5C4">
      <w:pPr>
        <w:spacing w:line="480" w:lineRule="auto"/>
        <w:rPr>
          <w:b/>
          <w:bCs/>
          <w:lang w:val="en-US"/>
        </w:rPr>
      </w:pPr>
      <w:r>
        <w:rPr>
          <w:b/>
          <w:bCs/>
          <w:lang w:val="en-US"/>
        </w:rPr>
        <w:t xml:space="preserve">Figure S15 </w:t>
      </w:r>
      <w:r>
        <w:rPr>
          <w:rFonts w:hint="eastAsia"/>
          <w:b/>
          <w:bCs/>
        </w:rPr>
        <w:t xml:space="preserve">Co-localization of </w:t>
      </w:r>
      <w:r>
        <w:rPr>
          <w:b/>
          <w:bCs/>
        </w:rPr>
        <w:t>p-PKA</w:t>
      </w:r>
      <w:r>
        <w:rPr>
          <w:rFonts w:hint="eastAsia"/>
          <w:b/>
          <w:bCs/>
        </w:rPr>
        <w:t xml:space="preserve"> and Iba1 in brain tissue</w:t>
      </w:r>
      <w:r>
        <w:rPr>
          <w:b/>
          <w:bCs/>
          <w:lang w:val="en-US"/>
        </w:rPr>
        <w:t xml:space="preserve"> </w:t>
      </w:r>
      <w:r>
        <w:rPr>
          <w:b/>
          <w:bCs/>
          <w:lang w:val="en-US"/>
        </w:rPr>
        <w:drawing>
          <wp:inline distT="0" distB="0" distL="0" distR="0">
            <wp:extent cx="5007610" cy="4333875"/>
            <wp:effectExtent l="0" t="0" r="254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07864" cy="4334256"/>
                    </a:xfrm>
                    <a:prstGeom prst="rect">
                      <a:avLst/>
                    </a:prstGeom>
                  </pic:spPr>
                </pic:pic>
              </a:graphicData>
            </a:graphic>
          </wp:inline>
        </w:drawing>
      </w:r>
    </w:p>
    <w:p w14:paraId="2DBE5F38">
      <w:pPr>
        <w:spacing w:line="480" w:lineRule="auto"/>
        <w:rPr>
          <w:b/>
          <w:bCs/>
        </w:rPr>
      </w:pPr>
    </w:p>
    <w:p w14:paraId="7B57B797">
      <w:pPr>
        <w:spacing w:line="480" w:lineRule="auto"/>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C77A14">
    <w:pPr>
      <w:pStyle w:val="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D64DC6">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0AD64DC6">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embedSystemFonts/>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B35407C"/>
    <w:rsid w:val="00084C8C"/>
    <w:rsid w:val="00091E93"/>
    <w:rsid w:val="000C5928"/>
    <w:rsid w:val="000C77E6"/>
    <w:rsid w:val="000D5FDC"/>
    <w:rsid w:val="001D0F59"/>
    <w:rsid w:val="001F62ED"/>
    <w:rsid w:val="00225BEE"/>
    <w:rsid w:val="00274EEE"/>
    <w:rsid w:val="002D7058"/>
    <w:rsid w:val="004A7598"/>
    <w:rsid w:val="004F16AF"/>
    <w:rsid w:val="00535E7A"/>
    <w:rsid w:val="00557076"/>
    <w:rsid w:val="00601459"/>
    <w:rsid w:val="00674211"/>
    <w:rsid w:val="006A468F"/>
    <w:rsid w:val="006C5D56"/>
    <w:rsid w:val="006D4184"/>
    <w:rsid w:val="00711673"/>
    <w:rsid w:val="00740EC5"/>
    <w:rsid w:val="00744FD7"/>
    <w:rsid w:val="0074728C"/>
    <w:rsid w:val="00785844"/>
    <w:rsid w:val="007E4B1B"/>
    <w:rsid w:val="007E63C4"/>
    <w:rsid w:val="0080140E"/>
    <w:rsid w:val="008B66C2"/>
    <w:rsid w:val="00964518"/>
    <w:rsid w:val="009C1FAD"/>
    <w:rsid w:val="00AB3061"/>
    <w:rsid w:val="00AB785B"/>
    <w:rsid w:val="00AC4FE6"/>
    <w:rsid w:val="00B152A9"/>
    <w:rsid w:val="00C11A45"/>
    <w:rsid w:val="00CD2A3F"/>
    <w:rsid w:val="00CE7F6D"/>
    <w:rsid w:val="00D01B5F"/>
    <w:rsid w:val="00D4666F"/>
    <w:rsid w:val="00D51F23"/>
    <w:rsid w:val="00DC1CA5"/>
    <w:rsid w:val="00E91993"/>
    <w:rsid w:val="00F001B2"/>
    <w:rsid w:val="00F476DE"/>
    <w:rsid w:val="00F656B0"/>
    <w:rsid w:val="00FD6B8F"/>
    <w:rsid w:val="21590CC5"/>
    <w:rsid w:val="29396C32"/>
    <w:rsid w:val="2EF22BA5"/>
    <w:rsid w:val="32522AB3"/>
    <w:rsid w:val="3B35407C"/>
    <w:rsid w:val="476E4170"/>
    <w:rsid w:val="545F50B3"/>
    <w:rsid w:val="5A7D487F"/>
    <w:rsid w:val="68A112AF"/>
    <w:rsid w:val="6AA046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MS Mincho" w:cs="Times New Roman"/>
      <w:sz w:val="24"/>
      <w:szCs w:val="24"/>
      <w:lang w:val="de-DE" w:eastAsia="ja-JP"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99"/>
    <w:pPr>
      <w:tabs>
        <w:tab w:val="center" w:pos="4536"/>
        <w:tab w:val="right" w:pos="9072"/>
      </w:tabs>
    </w:pPr>
  </w:style>
  <w:style w:type="paragraph" w:styleId="3">
    <w:name w:val="header"/>
    <w:basedOn w:val="1"/>
    <w:qFormat/>
    <w:uiPriority w:val="0"/>
    <w:pPr>
      <w:tabs>
        <w:tab w:val="center" w:pos="4536"/>
        <w:tab w:val="right" w:pos="9072"/>
      </w:tabs>
    </w:pPr>
    <w:rPr>
      <w:lang w:val="zh-CN"/>
    </w:rPr>
  </w:style>
  <w:style w:type="paragraph" w:styleId="4">
    <w:name w:val="Normal (Web)"/>
    <w:basedOn w:val="1"/>
    <w:link w:val="10"/>
    <w:qFormat/>
    <w:uiPriority w:val="0"/>
    <w:pPr>
      <w:widowControl w:val="0"/>
      <w:jc w:val="both"/>
    </w:pPr>
    <w:rPr>
      <w:rFonts w:asciiTheme="minorHAnsi" w:hAnsiTheme="minorHAnsi" w:eastAsiaTheme="minorEastAsia" w:cstheme="minorBidi"/>
      <w:kern w:val="2"/>
      <w:lang w:val="en-US" w:eastAsia="zh-CN"/>
    </w:rPr>
  </w:style>
  <w:style w:type="paragraph" w:customStyle="1" w:styleId="7">
    <w:name w:val="Acknowledgements"/>
    <w:basedOn w:val="1"/>
    <w:qFormat/>
    <w:uiPriority w:val="0"/>
    <w:rPr>
      <w:lang w:val="en-US"/>
    </w:rPr>
  </w:style>
  <w:style w:type="paragraph" w:customStyle="1" w:styleId="8">
    <w:name w:val="Title2"/>
    <w:basedOn w:val="1"/>
    <w:qFormat/>
    <w:uiPriority w:val="0"/>
    <w:rPr>
      <w:b/>
      <w:lang w:val="en-US"/>
    </w:rPr>
  </w:style>
  <w:style w:type="paragraph" w:customStyle="1" w:styleId="9">
    <w:name w:val="Table of contents"/>
    <w:basedOn w:val="1"/>
    <w:autoRedefine/>
    <w:qFormat/>
    <w:uiPriority w:val="0"/>
    <w:pPr>
      <w:spacing w:line="360" w:lineRule="auto"/>
    </w:pPr>
    <w:rPr>
      <w:rFonts w:eastAsiaTheme="minorEastAsia"/>
      <w:b/>
      <w:bCs/>
      <w:lang w:val="en-US" w:eastAsia="zh-CN"/>
    </w:rPr>
  </w:style>
  <w:style w:type="character" w:customStyle="1" w:styleId="10">
    <w:name w:val="普通(网站) 字符"/>
    <w:basedOn w:val="6"/>
    <w:link w:val="4"/>
    <w:uiPriority w:val="0"/>
    <w:rPr>
      <w:kern w:val="2"/>
      <w:sz w:val="24"/>
      <w:szCs w:val="24"/>
    </w:rPr>
  </w:style>
  <w:style w:type="paragraph" w:customStyle="1" w:styleId="11">
    <w:name w:val="Head 2"/>
    <w:basedOn w:val="1"/>
    <w:autoRedefine/>
    <w:qFormat/>
    <w:uiPriority w:val="0"/>
    <w:pPr>
      <w:spacing w:line="480" w:lineRule="auto"/>
      <w:jc w:val="both"/>
    </w:pPr>
    <w:rPr>
      <w:bCs/>
      <w:iCs/>
      <w:lang w:val="en-US"/>
    </w:rPr>
  </w:style>
  <w:style w:type="paragraph" w:customStyle="1" w:styleId="12">
    <w:name w:val="Head 1"/>
    <w:basedOn w:val="1"/>
    <w:autoRedefine/>
    <w:qFormat/>
    <w:uiPriority w:val="0"/>
    <w:pPr>
      <w:spacing w:line="480" w:lineRule="auto"/>
      <w:jc w:val="both"/>
    </w:pPr>
    <w:rPr>
      <w:rFonts w:eastAsiaTheme="minorEastAsia"/>
      <w:b/>
      <w:lang w:val="en-US" w:eastAsia="zh-CN"/>
    </w:rPr>
  </w:style>
  <w:style w:type="paragraph" w:styleId="13">
    <w:name w:val="List Paragraph"/>
    <w:basedOn w:val="1"/>
    <w:qFormat/>
    <w:uiPriority w:val="34"/>
    <w:pPr>
      <w:widowControl w:val="0"/>
      <w:spacing w:after="160" w:line="278" w:lineRule="auto"/>
      <w:ind w:left="720"/>
      <w:contextualSpacing/>
    </w:pPr>
    <w:rPr>
      <w:rFonts w:asciiTheme="minorHAnsi" w:hAnsiTheme="minorHAnsi" w:eastAsiaTheme="minorEastAsia" w:cstheme="minorBidi"/>
      <w:kern w:val="2"/>
      <w:sz w:val="22"/>
      <w:lang w:val="en-US" w:eastAsia="zh-CN"/>
      <w14:ligatures w14:val="standardContextual"/>
    </w:rPr>
  </w:style>
</w:styles>
</file>

<file path=word/_rels/document.xml.rels><?xml version="1.0" encoding="UTF-8" standalone="yes"?>
<Relationships xmlns="http://schemas.openxmlformats.org/package/2006/relationships"><Relationship Id="rId9" Type="http://schemas.openxmlformats.org/officeDocument/2006/relationships/image" Target="media/image5.tiff"/><Relationship Id="rId8" Type="http://schemas.openxmlformats.org/officeDocument/2006/relationships/image" Target="media/image4.png"/><Relationship Id="rId7" Type="http://schemas.openxmlformats.org/officeDocument/2006/relationships/image" Target="media/image3.tiff"/><Relationship Id="rId6" Type="http://schemas.openxmlformats.org/officeDocument/2006/relationships/image" Target="media/image2.tiff"/><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5.tiff"/><Relationship Id="rId18" Type="http://schemas.openxmlformats.org/officeDocument/2006/relationships/image" Target="media/image14.tiff"/><Relationship Id="rId17" Type="http://schemas.openxmlformats.org/officeDocument/2006/relationships/image" Target="media/image13.tiff"/><Relationship Id="rId16" Type="http://schemas.openxmlformats.org/officeDocument/2006/relationships/image" Target="media/image12.png"/><Relationship Id="rId15" Type="http://schemas.openxmlformats.org/officeDocument/2006/relationships/image" Target="media/image11.tiff"/><Relationship Id="rId14" Type="http://schemas.openxmlformats.org/officeDocument/2006/relationships/image" Target="media/image10.tiff"/><Relationship Id="rId13" Type="http://schemas.openxmlformats.org/officeDocument/2006/relationships/image" Target="media/image9.tiff"/><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20</Pages>
  <Words>886</Words>
  <Characters>4586</Characters>
  <Lines>60</Lines>
  <Paragraphs>16</Paragraphs>
  <TotalTime>36</TotalTime>
  <ScaleCrop>false</ScaleCrop>
  <LinksUpToDate>false</LinksUpToDate>
  <CharactersWithSpaces>5458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2026-03-16T03:18:00Z</dcterms:created>
  <dc:creator>烊*^o^*ツ</dc:creator>
  <cp:lastModifiedBy>烊*^o^*ツ</cp:lastModifiedBy>
  <dcterms:modified xsi:type="dcterms:W3CDTF">2026-03-19T02:06:24Z</dcterms:modified>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4F237CF36C1543ACA295FB243D380C93_13</vt:lpwstr>
  </property>
  <property fmtid="{D5CDD505-2E9C-101B-9397-08002B2CF9AE}" pid="4" name="KSOTemplateDocerSaveRecord">
    <vt:lpwstr>eyJoZGlkIjoiYjZjYTJlZWIxYTY4YzM5MjBmZGIzNGU0MzZmMDBmNDciLCJ1c2VySWQiOiI0MTA5NDg2OTUifQ==</vt:lpwstr>
  </property>
</Properties>
</file>